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45208A">
              <w:rPr>
                <w:rFonts w:asciiTheme="majorHAnsi" w:eastAsiaTheme="majorEastAsia" w:hAnsiTheme="majorHAnsi" w:cstheme="majorBidi"/>
                <w:sz w:val="36"/>
                <w:szCs w:val="36"/>
              </w:rPr>
              <w:t>Ş</w:t>
            </w:r>
            <w:bookmarkStart w:id="0" w:name="_GoBack"/>
            <w:bookmarkEnd w:id="0"/>
            <w:r w:rsidR="0045208A">
              <w:rPr>
                <w:rFonts w:asciiTheme="majorHAnsi" w:eastAsiaTheme="majorEastAsia" w:hAnsiTheme="majorHAnsi" w:cstheme="majorBidi"/>
                <w:sz w:val="36"/>
                <w:szCs w:val="36"/>
              </w:rPr>
              <w:t>UBAT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F91EC1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F91EC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45208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041E1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45208A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Şubat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23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Şubat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  <w:rPr>
          <w:lang w:eastAsia="tr-TR"/>
        </w:rPr>
      </w:pPr>
      <w:r>
        <w:rPr>
          <w:lang w:eastAsia="tr-TR"/>
        </w:rPr>
        <w:t>İnşaat</w:t>
      </w:r>
      <w:r w:rsidRPr="002B5EAF">
        <w:rPr>
          <w:lang w:eastAsia="tr-TR"/>
        </w:rPr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>
        <w:rPr>
          <w:rFonts w:ascii="Times New Roman" w:hAnsi="Times New Roman" w:cs="Times New Roman"/>
        </w:rPr>
        <w:t>Ocak</w:t>
      </w:r>
      <w:r w:rsidR="00BA0AF0" w:rsidRPr="00472839">
        <w:rPr>
          <w:rFonts w:ascii="Times New Roman" w:hAnsi="Times New Roman" w:cs="Times New Roman"/>
        </w:rPr>
        <w:t xml:space="preserve"> ayında </w:t>
      </w:r>
      <w:r>
        <w:rPr>
          <w:rFonts w:ascii="Times New Roman" w:hAnsi="Times New Roman" w:cs="Times New Roman"/>
        </w:rPr>
        <w:t>82,6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>
        <w:rPr>
          <w:rFonts w:ascii="Times New Roman" w:hAnsi="Times New Roman" w:cs="Times New Roman"/>
        </w:rPr>
        <w:t>Şubat ayında 2,4 puan artarak</w:t>
      </w:r>
      <w:r w:rsidR="008C3A4E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5</w:t>
      </w:r>
      <w:r w:rsidR="00BA0AF0" w:rsidRPr="00472839">
        <w:rPr>
          <w:rFonts w:ascii="Times New Roman" w:hAnsi="Times New Roman" w:cs="Times New Roman"/>
        </w:rPr>
        <w:t xml:space="preserve"> seviyesine </w:t>
      </w:r>
      <w:r>
        <w:rPr>
          <w:rFonts w:ascii="Times New Roman" w:hAnsi="Times New Roman" w:cs="Times New Roman"/>
        </w:rPr>
        <w:t>çıkmıştır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>
        <w:rPr>
          <w:rFonts w:ascii="Times New Roman" w:hAnsi="Times New Roman" w:cs="Times New Roman"/>
        </w:rPr>
        <w:t xml:space="preserve"> yılın aynı dönemine göre ise 81,3</w:t>
      </w:r>
      <w:r w:rsidR="003E7ABA" w:rsidRPr="00472839">
        <w:rPr>
          <w:rFonts w:ascii="Times New Roman" w:hAnsi="Times New Roman" w:cs="Times New Roman"/>
        </w:rPr>
        <w:t xml:space="preserve"> puan olan </w:t>
      </w:r>
      <w:r>
        <w:rPr>
          <w:rFonts w:ascii="Times New Roman" w:hAnsi="Times New Roman" w:cs="Times New Roman"/>
        </w:rPr>
        <w:t>inşaat sektörü güven endeksi 3,7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3A4DE8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>
        <w:rPr>
          <w:rFonts w:ascii="Times New Roman" w:hAnsi="Times New Roman" w:cs="Times New Roman"/>
        </w:rPr>
        <w:t>zde 4,5</w:t>
      </w:r>
      <w:r w:rsidR="003E7ABA" w:rsidRPr="00472839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DC3CEB" w:rsidRDefault="00E22179" w:rsidP="00BA0AF0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  <w:lang w:eastAsia="tr-TR"/>
        </w:rPr>
        <w:t>5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2C176D">
        <w:rPr>
          <w:rFonts w:ascii="Times New Roman" w:hAnsi="Times New Roman" w:cs="Times New Roman"/>
          <w:lang w:eastAsia="tr-TR"/>
        </w:rPr>
        <w:t>Şubat</w:t>
      </w:r>
      <w:r w:rsidR="00FD12B2">
        <w:rPr>
          <w:rFonts w:ascii="Times New Roman" w:hAnsi="Times New Roman" w:cs="Times New Roman"/>
          <w:lang w:eastAsia="tr-TR"/>
        </w:rPr>
        <w:t xml:space="preserve"> ayında bir önceki aya göre 6,4</w:t>
      </w:r>
      <w:r w:rsidRPr="002B5EAF">
        <w:rPr>
          <w:rFonts w:ascii="Times New Roman" w:hAnsi="Times New Roman" w:cs="Times New Roman"/>
          <w:lang w:eastAsia="tr-TR"/>
        </w:rPr>
        <w:t xml:space="preserve"> puan </w:t>
      </w:r>
      <w:r w:rsidR="00FD12B2">
        <w:rPr>
          <w:rFonts w:ascii="Times New Roman" w:hAnsi="Times New Roman" w:cs="Times New Roman"/>
          <w:lang w:eastAsia="tr-TR"/>
        </w:rPr>
        <w:t>artarak 87,5</w:t>
      </w:r>
      <w:r w:rsidRPr="002B5EAF">
        <w:rPr>
          <w:rFonts w:ascii="Times New Roman" w:hAnsi="Times New Roman" w:cs="Times New Roman"/>
          <w:lang w:eastAsia="tr-TR"/>
        </w:rPr>
        <w:t xml:space="preserve"> puana </w:t>
      </w:r>
      <w:r w:rsidR="00A270E3">
        <w:rPr>
          <w:rFonts w:ascii="Times New Roman" w:hAnsi="Times New Roman" w:cs="Times New Roman"/>
          <w:lang w:eastAsia="tr-TR"/>
        </w:rPr>
        <w:t>yükselmiştir</w:t>
      </w:r>
      <w:r w:rsidRPr="002B5EAF">
        <w:rPr>
          <w:rFonts w:ascii="Times New Roman" w:hAnsi="Times New Roman" w:cs="Times New Roman"/>
          <w:lang w:eastAsia="tr-TR"/>
        </w:rPr>
        <w:t>. 201</w:t>
      </w:r>
      <w:r w:rsidR="00A270E3">
        <w:rPr>
          <w:rFonts w:ascii="Times New Roman" w:hAnsi="Times New Roman" w:cs="Times New Roman"/>
          <w:lang w:eastAsia="tr-TR"/>
        </w:rPr>
        <w:t>4</w:t>
      </w:r>
      <w:r w:rsidRPr="002B5EAF">
        <w:rPr>
          <w:rFonts w:ascii="Times New Roman" w:hAnsi="Times New Roman" w:cs="Times New Roman"/>
          <w:lang w:eastAsia="tr-TR"/>
        </w:rPr>
        <w:t xml:space="preserve"> </w:t>
      </w:r>
      <w:r w:rsidR="00FD12B2">
        <w:rPr>
          <w:rFonts w:ascii="Times New Roman" w:hAnsi="Times New Roman" w:cs="Times New Roman"/>
          <w:lang w:eastAsia="tr-TR"/>
        </w:rPr>
        <w:t>Şubat</w:t>
      </w:r>
      <w:r w:rsidRPr="002B5EAF">
        <w:rPr>
          <w:rFonts w:ascii="Times New Roman" w:hAnsi="Times New Roman" w:cs="Times New Roman"/>
          <w:lang w:eastAsia="tr-TR"/>
        </w:rPr>
        <w:t xml:space="preserve"> ayı verilerine göre incelendiğinde ise, yüzde </w:t>
      </w:r>
      <w:r w:rsidR="00B050DB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A270E3">
        <w:rPr>
          <w:rFonts w:ascii="Times New Roman" w:eastAsia="Times New Roman" w:hAnsi="Times New Roman" w:cs="Times New Roman"/>
          <w:color w:val="000000"/>
          <w:lang w:eastAsia="tr-TR"/>
        </w:rPr>
        <w:t>,</w:t>
      </w:r>
      <w:r w:rsidR="00FD12B2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oranında </w:t>
      </w:r>
      <w:r w:rsidR="00FD12B2">
        <w:rPr>
          <w:rFonts w:ascii="Times New Roman" w:eastAsia="Times New Roman" w:hAnsi="Times New Roman" w:cs="Times New Roman"/>
          <w:color w:val="000000"/>
          <w:lang w:eastAsia="tr-TR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3A4E9E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3A4E9E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3A4E9E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FD12B2">
        <w:rPr>
          <w:rFonts w:ascii="Times New Roman" w:hAnsi="Times New Roman" w:cs="Times New Roman"/>
          <w:sz w:val="22"/>
          <w:szCs w:val="22"/>
        </w:rPr>
        <w:t>Şubat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FD12B2">
        <w:rPr>
          <w:rFonts w:ascii="Times New Roman" w:hAnsi="Times New Roman" w:cs="Times New Roman"/>
          <w:sz w:val="22"/>
          <w:szCs w:val="22"/>
        </w:rPr>
        <w:t>Şubat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B22A6C" w:rsidP="00F2387A">
      <w:pPr>
        <w:rPr>
          <w:rFonts w:ascii="Times New Roman" w:hAnsi="Times New Roman" w:cs="Times New Roman"/>
          <w:lang w:eastAsia="tr-TR"/>
        </w:rPr>
      </w:pPr>
      <w:r w:rsidRPr="00B22A6C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717516" cy="2898475"/>
            <wp:effectExtent l="19050" t="0" r="16534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Pr="002B5EAF" w:rsidRDefault="00415908" w:rsidP="00415908">
      <w:p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Mevsimlikten arındırılmış inşaat sektörü güven endeksini oluşturan alt kalemlere bakıldığında, </w:t>
      </w:r>
      <w:r w:rsidR="006D6C3C">
        <w:rPr>
          <w:rFonts w:ascii="Times New Roman" w:hAnsi="Times New Roman" w:cs="Times New Roman"/>
          <w:lang w:eastAsia="tr-TR"/>
        </w:rPr>
        <w:t>Ocak 2015’te 66,5</w:t>
      </w:r>
      <w:r>
        <w:rPr>
          <w:rFonts w:ascii="Times New Roman" w:hAnsi="Times New Roman" w:cs="Times New Roman"/>
          <w:lang w:eastAsia="tr-TR"/>
        </w:rPr>
        <w:t xml:space="preserve"> puan olan alınan</w:t>
      </w:r>
      <w:r w:rsidR="00B050DB">
        <w:rPr>
          <w:rFonts w:ascii="Times New Roman" w:hAnsi="Times New Roman" w:cs="Times New Roman"/>
          <w:lang w:eastAsia="tr-TR"/>
        </w:rPr>
        <w:t xml:space="preserve"> kayıtlı</w:t>
      </w:r>
      <w:r>
        <w:rPr>
          <w:rFonts w:ascii="Times New Roman" w:hAnsi="Times New Roman" w:cs="Times New Roman"/>
          <w:lang w:eastAsia="tr-TR"/>
        </w:rPr>
        <w:t xml:space="preserve"> siparişlerin mevcut düzeyinin, </w:t>
      </w:r>
      <w:r w:rsidR="006D6C3C">
        <w:rPr>
          <w:rFonts w:ascii="Times New Roman" w:hAnsi="Times New Roman" w:cs="Times New Roman"/>
          <w:lang w:eastAsia="tr-TR"/>
        </w:rPr>
        <w:t>Şubat 2015’te 0,2</w:t>
      </w:r>
      <w:r>
        <w:rPr>
          <w:rFonts w:ascii="Times New Roman" w:hAnsi="Times New Roman" w:cs="Times New Roman"/>
          <w:lang w:eastAsia="tr-TR"/>
        </w:rPr>
        <w:t xml:space="preserve"> puan </w:t>
      </w:r>
      <w:r w:rsidR="006D6C3C">
        <w:rPr>
          <w:rFonts w:ascii="Times New Roman" w:hAnsi="Times New Roman" w:cs="Times New Roman"/>
          <w:lang w:eastAsia="tr-TR"/>
        </w:rPr>
        <w:t>arttığı ve 66,7</w:t>
      </w:r>
      <w:r>
        <w:rPr>
          <w:rFonts w:ascii="Times New Roman" w:hAnsi="Times New Roman" w:cs="Times New Roman"/>
          <w:lang w:eastAsia="tr-TR"/>
        </w:rPr>
        <w:t xml:space="preserve"> puan olduğu gözlemlenmektedir (Tablo 1). Gelecek 3 aylık dönem için toplam çalışan sayısı beklentisi ise, </w:t>
      </w:r>
      <w:r w:rsidR="006D6C3C">
        <w:rPr>
          <w:rFonts w:ascii="Times New Roman" w:hAnsi="Times New Roman" w:cs="Times New Roman"/>
          <w:lang w:eastAsia="tr-TR"/>
        </w:rPr>
        <w:t>Ocak 2015’te 98,6</w:t>
      </w:r>
      <w:r>
        <w:rPr>
          <w:rFonts w:ascii="Times New Roman" w:hAnsi="Times New Roman" w:cs="Times New Roman"/>
          <w:lang w:eastAsia="tr-TR"/>
        </w:rPr>
        <w:t xml:space="preserve"> puan iken, </w:t>
      </w:r>
      <w:r w:rsidR="00DF240C">
        <w:rPr>
          <w:rFonts w:ascii="Times New Roman" w:hAnsi="Times New Roman" w:cs="Times New Roman"/>
          <w:lang w:eastAsia="tr-TR"/>
        </w:rPr>
        <w:t>Şubat 2015’te yüzde 4</w:t>
      </w:r>
      <w:r w:rsidR="00B81204">
        <w:rPr>
          <w:rFonts w:ascii="Times New Roman" w:hAnsi="Times New Roman" w:cs="Times New Roman"/>
          <w:lang w:eastAsia="tr-TR"/>
        </w:rPr>
        <w:t>,7</w:t>
      </w:r>
      <w:r>
        <w:rPr>
          <w:rFonts w:ascii="Times New Roman" w:hAnsi="Times New Roman" w:cs="Times New Roman"/>
          <w:lang w:eastAsia="tr-TR"/>
        </w:rPr>
        <w:t xml:space="preserve"> oranında </w:t>
      </w:r>
      <w:r w:rsidR="00DF240C">
        <w:rPr>
          <w:rFonts w:ascii="Times New Roman" w:hAnsi="Times New Roman" w:cs="Times New Roman"/>
          <w:lang w:eastAsia="tr-TR"/>
        </w:rPr>
        <w:t>artarak 103,2</w:t>
      </w:r>
      <w:r>
        <w:rPr>
          <w:rFonts w:ascii="Times New Roman" w:hAnsi="Times New Roman" w:cs="Times New Roman"/>
          <w:lang w:eastAsia="tr-TR"/>
        </w:rPr>
        <w:t xml:space="preserve"> puan olmuştur.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DC0FCA">
        <w:fldChar w:fldCharType="begin"/>
      </w:r>
      <w:r w:rsidR="00DC0FCA">
        <w:instrText xml:space="preserve"> SEQ Tablo \* ARABIC </w:instrText>
      </w:r>
      <w:r w:rsidR="00DC0FCA">
        <w:fldChar w:fldCharType="separate"/>
      </w:r>
      <w:r>
        <w:rPr>
          <w:noProof/>
        </w:rPr>
        <w:t>1</w:t>
      </w:r>
      <w:r w:rsidR="00DC0FCA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6F23D8">
        <w:t>Ocak 2015</w:t>
      </w:r>
      <w:r>
        <w:t>-</w:t>
      </w:r>
      <w:r w:rsidR="006F23D8">
        <w:t>Şubat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6F23D8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.14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6F23D8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2,6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C3CEB" w:rsidRPr="00DC3CEB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Alınan Kayıtlı Siparişlerin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B81204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B81204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  <w:r w:rsidR="00DC3CEB"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lastRenderedPageBreak/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6F23D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98,6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6F23D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103,2</w:t>
            </w:r>
          </w:p>
        </w:tc>
      </w:tr>
    </w:tbl>
    <w:p w:rsidR="00DC3CEB" w:rsidRDefault="00DC3CEB" w:rsidP="00F2387A">
      <w:pPr>
        <w:rPr>
          <w:rFonts w:ascii="Times New Roman" w:hAnsi="Times New Roman" w:cs="Times New Roman"/>
          <w:lang w:eastAsia="tr-TR"/>
        </w:rPr>
      </w:pPr>
    </w:p>
    <w:p w:rsidR="00E12C81" w:rsidRDefault="00E12C81" w:rsidP="00472839">
      <w:pPr>
        <w:pStyle w:val="Balk2"/>
        <w:rPr>
          <w:lang w:eastAsia="tr-TR"/>
        </w:rPr>
      </w:pPr>
      <w:r w:rsidRPr="002B5EAF">
        <w:rPr>
          <w:lang w:eastAsia="tr-TR"/>
        </w:rPr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2015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 w:rsidR="00A332D6">
        <w:rPr>
          <w:rFonts w:ascii="Times New Roman" w:hAnsi="Times New Roman" w:cs="Times New Roman"/>
          <w:lang w:eastAsia="tr-TR"/>
        </w:rPr>
        <w:t>Şubat</w:t>
      </w:r>
      <w:r w:rsidR="00415908" w:rsidRPr="002B5EAF">
        <w:rPr>
          <w:rFonts w:ascii="Times New Roman" w:hAnsi="Times New Roman" w:cs="Times New Roman"/>
          <w:lang w:eastAsia="tr-TR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  <w:lang w:eastAsia="tr-TR"/>
        </w:rPr>
        <w:t>(Şekil 2)</w:t>
      </w:r>
      <w:r>
        <w:rPr>
          <w:rFonts w:ascii="Times New Roman" w:hAnsi="Times New Roman" w:cs="Times New Roman"/>
          <w:lang w:eastAsia="tr-TR"/>
        </w:rPr>
        <w:t>, 2014</w:t>
      </w:r>
      <w:r w:rsidR="00415908" w:rsidRPr="002B5EAF">
        <w:rPr>
          <w:rFonts w:ascii="Times New Roman" w:hAnsi="Times New Roman" w:cs="Times New Roman"/>
          <w:lang w:eastAsia="tr-TR"/>
        </w:rPr>
        <w:t xml:space="preserve"> yılı </w:t>
      </w:r>
      <w:r w:rsidR="00A332D6">
        <w:rPr>
          <w:rFonts w:ascii="Times New Roman" w:hAnsi="Times New Roman" w:cs="Times New Roman"/>
          <w:lang w:eastAsia="tr-TR"/>
        </w:rPr>
        <w:t>Şubat ayına göre 0,8</w:t>
      </w:r>
      <w:r w:rsidR="00BB0798">
        <w:rPr>
          <w:rFonts w:ascii="Times New Roman" w:hAnsi="Times New Roman" w:cs="Times New Roman"/>
          <w:lang w:eastAsia="tr-TR"/>
        </w:rPr>
        <w:t xml:space="preserve"> oranında </w:t>
      </w:r>
      <w:r w:rsidR="00A332D6">
        <w:rPr>
          <w:rFonts w:ascii="Times New Roman" w:hAnsi="Times New Roman" w:cs="Times New Roman"/>
          <w:lang w:eastAsia="tr-TR"/>
        </w:rPr>
        <w:t>artış</w:t>
      </w:r>
      <w:r w:rsidR="00BB0798">
        <w:rPr>
          <w:rFonts w:ascii="Times New Roman" w:hAnsi="Times New Roman" w:cs="Times New Roman"/>
          <w:lang w:eastAsia="tr-TR"/>
        </w:rPr>
        <w:t xml:space="preserve"> gösterdiği</w:t>
      </w:r>
      <w:r w:rsidR="00A332D6">
        <w:rPr>
          <w:rFonts w:ascii="Times New Roman" w:hAnsi="Times New Roman" w:cs="Times New Roman"/>
          <w:lang w:eastAsia="tr-TR"/>
        </w:rPr>
        <w:t xml:space="preserve"> (0,9 puan) ve 101,9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 xml:space="preserve">puana </w:t>
      </w:r>
      <w:r w:rsidR="00A332D6">
        <w:rPr>
          <w:rFonts w:ascii="Times New Roman" w:hAnsi="Times New Roman" w:cs="Times New Roman"/>
          <w:lang w:eastAsia="tr-TR"/>
        </w:rPr>
        <w:t>yükseldiği</w:t>
      </w:r>
      <w:r w:rsidR="00415908" w:rsidRPr="002B5EAF">
        <w:rPr>
          <w:rFonts w:ascii="Times New Roman" w:hAnsi="Times New Roman" w:cs="Times New Roman"/>
          <w:lang w:eastAsia="tr-TR"/>
        </w:rPr>
        <w:t xml:space="preserve"> göze çarpmaktadır.</w:t>
      </w:r>
      <w:r w:rsidR="00DB0FFC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>201</w:t>
      </w:r>
      <w:r w:rsidR="00A332D6">
        <w:rPr>
          <w:rFonts w:ascii="Times New Roman" w:hAnsi="Times New Roman" w:cs="Times New Roman"/>
          <w:lang w:eastAsia="tr-TR"/>
        </w:rPr>
        <w:t>5</w:t>
      </w:r>
      <w:r w:rsidR="00415908" w:rsidRPr="002B5EAF">
        <w:rPr>
          <w:rFonts w:ascii="Times New Roman" w:hAnsi="Times New Roman" w:cs="Times New Roman"/>
          <w:lang w:eastAsia="tr-TR"/>
        </w:rPr>
        <w:t xml:space="preserve"> yılı </w:t>
      </w:r>
      <w:r w:rsidR="00A332D6">
        <w:rPr>
          <w:rFonts w:ascii="Times New Roman" w:hAnsi="Times New Roman" w:cs="Times New Roman"/>
          <w:lang w:eastAsia="tr-TR"/>
        </w:rPr>
        <w:t>Ocak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 w:rsidR="00A332D6">
        <w:rPr>
          <w:rFonts w:ascii="Times New Roman" w:hAnsi="Times New Roman" w:cs="Times New Roman"/>
          <w:lang w:eastAsia="tr-TR"/>
        </w:rPr>
        <w:t>ayına göre bakıldığında ise 0,9</w:t>
      </w:r>
      <w:r w:rsidR="00415908" w:rsidRPr="002B5EAF">
        <w:rPr>
          <w:rFonts w:ascii="Times New Roman" w:hAnsi="Times New Roman" w:cs="Times New Roman"/>
          <w:lang w:eastAsia="tr-TR"/>
        </w:rPr>
        <w:t xml:space="preserve"> oranında </w:t>
      </w:r>
      <w:r w:rsidR="00A332D6">
        <w:rPr>
          <w:rFonts w:ascii="Times New Roman" w:hAnsi="Times New Roman" w:cs="Times New Roman"/>
          <w:lang w:eastAsia="tr-TR"/>
        </w:rPr>
        <w:t>arttığı (0,9</w:t>
      </w:r>
      <w:r w:rsidR="00415908" w:rsidRPr="002B5EAF">
        <w:rPr>
          <w:rFonts w:ascii="Times New Roman" w:hAnsi="Times New Roman" w:cs="Times New Roman"/>
          <w:lang w:eastAsia="tr-TR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 xml:space="preserve">Mevsimlikten arındırılmamış </w:t>
      </w:r>
      <w:r w:rsidR="00415908">
        <w:rPr>
          <w:rFonts w:ascii="Times New Roman" w:hAnsi="Times New Roman" w:cs="Times New Roman"/>
          <w:lang w:eastAsia="tr-TR"/>
        </w:rPr>
        <w:t>endeks ise</w:t>
      </w:r>
      <w:r w:rsidR="00A332D6">
        <w:rPr>
          <w:rFonts w:ascii="Times New Roman" w:hAnsi="Times New Roman" w:cs="Times New Roman"/>
          <w:lang w:eastAsia="tr-TR"/>
        </w:rPr>
        <w:t>, 2015</w:t>
      </w:r>
      <w:r w:rsidRPr="002B5EAF">
        <w:rPr>
          <w:rFonts w:ascii="Times New Roman" w:hAnsi="Times New Roman" w:cs="Times New Roman"/>
          <w:lang w:eastAsia="tr-TR"/>
        </w:rPr>
        <w:t xml:space="preserve"> yılının </w:t>
      </w:r>
      <w:r w:rsidR="00A332D6">
        <w:rPr>
          <w:rFonts w:ascii="Times New Roman" w:hAnsi="Times New Roman" w:cs="Times New Roman"/>
          <w:lang w:eastAsia="tr-TR"/>
        </w:rPr>
        <w:t>Ocak ayına göre yüzde 5,2</w:t>
      </w:r>
      <w:r w:rsidRPr="002B5EAF">
        <w:rPr>
          <w:rFonts w:ascii="Times New Roman" w:hAnsi="Times New Roman" w:cs="Times New Roman"/>
          <w:lang w:eastAsia="tr-TR"/>
        </w:rPr>
        <w:t xml:space="preserve"> oranında </w:t>
      </w:r>
      <w:r w:rsidR="00EE3747">
        <w:rPr>
          <w:rFonts w:ascii="Times New Roman" w:hAnsi="Times New Roman" w:cs="Times New Roman"/>
          <w:lang w:eastAsia="tr-TR"/>
        </w:rPr>
        <w:t>artarak</w:t>
      </w:r>
      <w:r w:rsidR="00DB0FFC">
        <w:rPr>
          <w:rFonts w:ascii="Times New Roman" w:hAnsi="Times New Roman" w:cs="Times New Roman"/>
          <w:lang w:eastAsia="tr-TR"/>
        </w:rPr>
        <w:t xml:space="preserve"> (</w:t>
      </w:r>
      <w:r w:rsidR="00A332D6">
        <w:rPr>
          <w:rFonts w:ascii="Times New Roman" w:hAnsi="Times New Roman" w:cs="Times New Roman"/>
          <w:lang w:eastAsia="tr-TR"/>
        </w:rPr>
        <w:t>4,9</w:t>
      </w:r>
      <w:r w:rsidR="00BB0798">
        <w:rPr>
          <w:rFonts w:ascii="Times New Roman" w:hAnsi="Times New Roman" w:cs="Times New Roman"/>
          <w:lang w:eastAsia="tr-TR"/>
        </w:rPr>
        <w:t xml:space="preserve"> p</w:t>
      </w:r>
      <w:r w:rsidR="00EE3747">
        <w:rPr>
          <w:rFonts w:ascii="Times New Roman" w:hAnsi="Times New Roman" w:cs="Times New Roman"/>
          <w:lang w:eastAsia="tr-TR"/>
        </w:rPr>
        <w:t>u</w:t>
      </w:r>
      <w:r w:rsidR="00A332D6">
        <w:rPr>
          <w:rFonts w:ascii="Times New Roman" w:hAnsi="Times New Roman" w:cs="Times New Roman"/>
          <w:lang w:eastAsia="tr-TR"/>
        </w:rPr>
        <w:t>an) 99</w:t>
      </w:r>
      <w:r w:rsidR="00EE3747">
        <w:rPr>
          <w:rFonts w:ascii="Times New Roman" w:hAnsi="Times New Roman" w:cs="Times New Roman"/>
          <w:lang w:eastAsia="tr-TR"/>
        </w:rPr>
        <w:t>,8</w:t>
      </w:r>
      <w:r w:rsidR="00415908">
        <w:rPr>
          <w:rFonts w:ascii="Times New Roman" w:hAnsi="Times New Roman" w:cs="Times New Roman"/>
          <w:lang w:eastAsia="tr-TR"/>
        </w:rPr>
        <w:t xml:space="preserve"> olurken, </w:t>
      </w:r>
      <w:r w:rsidR="00EE3747">
        <w:rPr>
          <w:rFonts w:ascii="Times New Roman" w:hAnsi="Times New Roman" w:cs="Times New Roman"/>
          <w:lang w:eastAsia="tr-TR"/>
        </w:rPr>
        <w:t>2014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A332D6">
        <w:rPr>
          <w:rFonts w:ascii="Times New Roman" w:hAnsi="Times New Roman" w:cs="Times New Roman"/>
          <w:lang w:eastAsia="tr-TR"/>
        </w:rPr>
        <w:t>Şubat</w:t>
      </w:r>
      <w:r w:rsidRPr="002B5EAF">
        <w:rPr>
          <w:rFonts w:ascii="Times New Roman" w:hAnsi="Times New Roman" w:cs="Times New Roman"/>
          <w:lang w:eastAsia="tr-TR"/>
        </w:rPr>
        <w:t xml:space="preserve"> ayı</w:t>
      </w:r>
      <w:r w:rsidR="00DB0FFC">
        <w:rPr>
          <w:rFonts w:ascii="Times New Roman" w:hAnsi="Times New Roman" w:cs="Times New Roman"/>
          <w:lang w:eastAsia="tr-TR"/>
        </w:rPr>
        <w:t>na göre</w:t>
      </w:r>
      <w:r w:rsidR="00EE3747">
        <w:rPr>
          <w:rFonts w:ascii="Times New Roman" w:hAnsi="Times New Roman" w:cs="Times New Roman"/>
          <w:lang w:eastAsia="tr-TR"/>
        </w:rPr>
        <w:t xml:space="preserve"> </w:t>
      </w:r>
      <w:r w:rsidR="00A332D6">
        <w:rPr>
          <w:rFonts w:ascii="Times New Roman" w:hAnsi="Times New Roman" w:cs="Times New Roman"/>
          <w:lang w:eastAsia="tr-TR"/>
        </w:rPr>
        <w:t>1,9</w:t>
      </w:r>
      <w:r w:rsidR="00415908">
        <w:rPr>
          <w:rFonts w:ascii="Times New Roman" w:hAnsi="Times New Roman" w:cs="Times New Roman"/>
          <w:lang w:eastAsia="tr-TR"/>
        </w:rPr>
        <w:t xml:space="preserve"> oranında </w:t>
      </w:r>
      <w:r w:rsidR="00415908" w:rsidRPr="002B5EAF">
        <w:rPr>
          <w:rFonts w:ascii="Times New Roman" w:hAnsi="Times New Roman" w:cs="Times New Roman"/>
          <w:lang w:eastAsia="tr-TR"/>
        </w:rPr>
        <w:t>(</w:t>
      </w:r>
      <w:r w:rsidR="00A332D6">
        <w:rPr>
          <w:rFonts w:ascii="Times New Roman" w:hAnsi="Times New Roman" w:cs="Times New Roman"/>
          <w:lang w:eastAsia="tr-TR"/>
        </w:rPr>
        <w:t>1</w:t>
      </w:r>
      <w:r w:rsidR="00EE3747">
        <w:rPr>
          <w:rFonts w:ascii="Times New Roman" w:hAnsi="Times New Roman" w:cs="Times New Roman"/>
          <w:lang w:eastAsia="tr-TR"/>
        </w:rPr>
        <w:t>,8</w:t>
      </w:r>
      <w:r w:rsidR="00415908" w:rsidRPr="002B5EAF">
        <w:rPr>
          <w:rFonts w:ascii="Times New Roman" w:hAnsi="Times New Roman" w:cs="Times New Roman"/>
          <w:lang w:eastAsia="tr-TR"/>
        </w:rPr>
        <w:t xml:space="preserve"> puan)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A332D6">
        <w:rPr>
          <w:rFonts w:ascii="Times New Roman" w:hAnsi="Times New Roman" w:cs="Times New Roman"/>
          <w:lang w:eastAsia="tr-TR"/>
        </w:rPr>
        <w:t>artmıştır</w:t>
      </w:r>
      <w:r w:rsidRPr="002B5EAF">
        <w:rPr>
          <w:rFonts w:ascii="Times New Roman" w:hAnsi="Times New Roman" w:cs="Times New Roman"/>
          <w:lang w:eastAsia="tr-TR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FE70AB">
        <w:rPr>
          <w:rFonts w:ascii="Times New Roman" w:hAnsi="Times New Roman" w:cs="Times New Roman"/>
          <w:sz w:val="22"/>
          <w:szCs w:val="22"/>
        </w:rPr>
        <w:t>Şubat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FE70AB">
        <w:rPr>
          <w:rFonts w:ascii="Times New Roman" w:hAnsi="Times New Roman" w:cs="Times New Roman"/>
          <w:sz w:val="22"/>
          <w:szCs w:val="22"/>
        </w:rPr>
        <w:t>Şubat</w:t>
      </w:r>
      <w:r w:rsidR="00BB3B61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FE70AB" w:rsidP="00F2387A">
      <w:pPr>
        <w:rPr>
          <w:rFonts w:ascii="Times New Roman" w:hAnsi="Times New Roman" w:cs="Times New Roman"/>
          <w:lang w:eastAsia="tr-TR"/>
        </w:rPr>
      </w:pPr>
      <w:r w:rsidRPr="00FE70AB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760720" cy="2823402"/>
            <wp:effectExtent l="19050" t="0" r="11430" b="0"/>
            <wp:docPr id="5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Mevsim etkilerinden arındırılmış hizmet sektörü güven endeksinin oluştuğu alt kalemler incelendiğinde (Tablo 2), </w:t>
      </w:r>
      <w:r w:rsidR="00B81743">
        <w:rPr>
          <w:rFonts w:ascii="Times New Roman" w:hAnsi="Times New Roman" w:cs="Times New Roman"/>
          <w:lang w:eastAsia="tr-TR"/>
        </w:rPr>
        <w:t>Ocak 2015</w:t>
      </w:r>
      <w:r w:rsidR="008F037C">
        <w:rPr>
          <w:rFonts w:ascii="Times New Roman" w:hAnsi="Times New Roman" w:cs="Times New Roman"/>
          <w:lang w:eastAsia="tr-TR"/>
        </w:rPr>
        <w:t>’te 9</w:t>
      </w:r>
      <w:r w:rsidR="00B81743">
        <w:rPr>
          <w:rFonts w:ascii="Times New Roman" w:hAnsi="Times New Roman" w:cs="Times New Roman"/>
          <w:lang w:eastAsia="tr-TR"/>
        </w:rPr>
        <w:t>7</w:t>
      </w:r>
      <w:r w:rsidR="008F037C">
        <w:rPr>
          <w:rFonts w:ascii="Times New Roman" w:hAnsi="Times New Roman" w:cs="Times New Roman"/>
          <w:lang w:eastAsia="tr-TR"/>
        </w:rPr>
        <w:t>,2</w:t>
      </w:r>
      <w:r>
        <w:rPr>
          <w:rFonts w:ascii="Times New Roman" w:hAnsi="Times New Roman" w:cs="Times New Roman"/>
          <w:lang w:eastAsia="tr-TR"/>
        </w:rPr>
        <w:t xml:space="preserve"> puan olan iş durumunun, </w:t>
      </w:r>
      <w:r w:rsidR="00B81743">
        <w:rPr>
          <w:rFonts w:ascii="Times New Roman" w:hAnsi="Times New Roman" w:cs="Times New Roman"/>
          <w:lang w:eastAsia="tr-TR"/>
        </w:rPr>
        <w:t>Şubat</w:t>
      </w:r>
      <w:r>
        <w:rPr>
          <w:rFonts w:ascii="Times New Roman" w:hAnsi="Times New Roman" w:cs="Times New Roman"/>
          <w:lang w:eastAsia="tr-TR"/>
        </w:rPr>
        <w:t xml:space="preserve"> a</w:t>
      </w:r>
      <w:r w:rsidR="00B81743">
        <w:rPr>
          <w:rFonts w:ascii="Times New Roman" w:hAnsi="Times New Roman" w:cs="Times New Roman"/>
          <w:lang w:eastAsia="tr-TR"/>
        </w:rPr>
        <w:t>yında yüzde 1,6 oranında (1,6</w:t>
      </w:r>
      <w:r>
        <w:rPr>
          <w:rFonts w:ascii="Times New Roman" w:hAnsi="Times New Roman" w:cs="Times New Roman"/>
          <w:lang w:eastAsia="tr-TR"/>
        </w:rPr>
        <w:t xml:space="preserve"> puan) </w:t>
      </w:r>
      <w:r w:rsidR="00B81743">
        <w:rPr>
          <w:rFonts w:ascii="Times New Roman" w:hAnsi="Times New Roman" w:cs="Times New Roman"/>
          <w:lang w:eastAsia="tr-TR"/>
        </w:rPr>
        <w:t>artarak 98,7</w:t>
      </w:r>
      <w:r>
        <w:rPr>
          <w:rFonts w:ascii="Times New Roman" w:hAnsi="Times New Roman" w:cs="Times New Roman"/>
          <w:lang w:eastAsia="tr-TR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  <w:lang w:eastAsia="tr-TR"/>
        </w:rPr>
        <w:t xml:space="preserve"> Şubat 2015’te bir önceki aya göre 1,1</w:t>
      </w:r>
      <w:r>
        <w:rPr>
          <w:rFonts w:ascii="Times New Roman" w:hAnsi="Times New Roman" w:cs="Times New Roman"/>
          <w:lang w:eastAsia="tr-TR"/>
        </w:rPr>
        <w:t xml:space="preserve"> puan </w:t>
      </w:r>
      <w:r w:rsidR="008F037C">
        <w:rPr>
          <w:rFonts w:ascii="Times New Roman" w:hAnsi="Times New Roman" w:cs="Times New Roman"/>
          <w:lang w:eastAsia="tr-TR"/>
        </w:rPr>
        <w:t>artmış</w:t>
      </w:r>
      <w:r>
        <w:rPr>
          <w:rFonts w:ascii="Times New Roman" w:hAnsi="Times New Roman" w:cs="Times New Roman"/>
          <w:lang w:eastAsia="tr-TR"/>
        </w:rPr>
        <w:t xml:space="preserve"> ve </w:t>
      </w:r>
      <w:r w:rsidR="003C0AB3">
        <w:rPr>
          <w:rFonts w:ascii="Times New Roman" w:hAnsi="Times New Roman" w:cs="Times New Roman"/>
          <w:lang w:eastAsia="tr-TR"/>
        </w:rPr>
        <w:t>95,5</w:t>
      </w:r>
      <w:r w:rsidR="008F037C">
        <w:rPr>
          <w:rFonts w:ascii="Times New Roman" w:hAnsi="Times New Roman" w:cs="Times New Roman"/>
          <w:lang w:eastAsia="tr-TR"/>
        </w:rPr>
        <w:t xml:space="preserve"> puan olmuştur</w:t>
      </w:r>
      <w:r>
        <w:rPr>
          <w:rFonts w:ascii="Times New Roman" w:hAnsi="Times New Roman" w:cs="Times New Roman"/>
          <w:lang w:eastAsia="tr-TR"/>
        </w:rPr>
        <w:t xml:space="preserve">. </w:t>
      </w:r>
      <w:r w:rsidR="003C0AB3">
        <w:rPr>
          <w:rFonts w:ascii="Times New Roman" w:hAnsi="Times New Roman" w:cs="Times New Roman"/>
          <w:lang w:eastAsia="tr-TR"/>
        </w:rPr>
        <w:t>Ocak 2015</w:t>
      </w:r>
      <w:r w:rsidR="0067222E">
        <w:rPr>
          <w:rFonts w:ascii="Times New Roman" w:hAnsi="Times New Roman" w:cs="Times New Roman"/>
          <w:lang w:eastAsia="tr-TR"/>
        </w:rPr>
        <w:t>’te 111</w:t>
      </w:r>
      <w:r w:rsidR="003C0AB3">
        <w:rPr>
          <w:rFonts w:ascii="Times New Roman" w:hAnsi="Times New Roman" w:cs="Times New Roman"/>
          <w:lang w:eastAsia="tr-TR"/>
        </w:rPr>
        <w:t>,5</w:t>
      </w:r>
      <w:r>
        <w:rPr>
          <w:rFonts w:ascii="Times New Roman" w:hAnsi="Times New Roman" w:cs="Times New Roman"/>
          <w:lang w:eastAsia="tr-TR"/>
        </w:rPr>
        <w:t xml:space="preserve"> puan olan gelecek 3 aylık dönem için hizmetlere olan talep beklentisi ise, </w:t>
      </w:r>
      <w:r w:rsidR="003C0AB3">
        <w:rPr>
          <w:rFonts w:ascii="Times New Roman" w:hAnsi="Times New Roman" w:cs="Times New Roman"/>
          <w:lang w:eastAsia="tr-TR"/>
        </w:rPr>
        <w:t>Şubat</w:t>
      </w:r>
      <w:r w:rsidR="0067222E">
        <w:rPr>
          <w:rFonts w:ascii="Times New Roman" w:hAnsi="Times New Roman" w:cs="Times New Roman"/>
          <w:lang w:eastAsia="tr-TR"/>
        </w:rPr>
        <w:t xml:space="preserve"> 2015’te yüzde 0,</w:t>
      </w:r>
      <w:r w:rsidR="003C0AB3">
        <w:rPr>
          <w:rFonts w:ascii="Times New Roman" w:hAnsi="Times New Roman" w:cs="Times New Roman"/>
          <w:lang w:eastAsia="tr-TR"/>
        </w:rPr>
        <w:t>01</w:t>
      </w:r>
      <w:r>
        <w:rPr>
          <w:rFonts w:ascii="Times New Roman" w:hAnsi="Times New Roman" w:cs="Times New Roman"/>
          <w:lang w:eastAsia="tr-TR"/>
        </w:rPr>
        <w:t xml:space="preserve"> oranında </w:t>
      </w:r>
      <w:r w:rsidR="003C0AB3">
        <w:rPr>
          <w:rFonts w:ascii="Times New Roman" w:hAnsi="Times New Roman" w:cs="Times New Roman"/>
          <w:lang w:eastAsia="tr-TR"/>
        </w:rPr>
        <w:t>azalmış</w:t>
      </w:r>
      <w:r w:rsidR="0067222E">
        <w:rPr>
          <w:rFonts w:ascii="Times New Roman" w:hAnsi="Times New Roman" w:cs="Times New Roman"/>
          <w:lang w:eastAsia="tr-TR"/>
        </w:rPr>
        <w:t xml:space="preserve"> ve</w:t>
      </w:r>
      <w:r w:rsidR="003C0AB3">
        <w:rPr>
          <w:rFonts w:ascii="Times New Roman" w:hAnsi="Times New Roman" w:cs="Times New Roman"/>
          <w:lang w:eastAsia="tr-TR"/>
        </w:rPr>
        <w:t xml:space="preserve"> 111,5 olmuştur</w:t>
      </w:r>
      <w:r>
        <w:rPr>
          <w:rFonts w:ascii="Times New Roman" w:hAnsi="Times New Roman" w:cs="Times New Roman"/>
          <w:lang w:eastAsia="tr-TR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DC0FCA">
        <w:fldChar w:fldCharType="begin"/>
      </w:r>
      <w:r w:rsidR="00DC0FCA">
        <w:instrText xml:space="preserve"> SEQ Tablo \* ARABIC </w:instrText>
      </w:r>
      <w:r w:rsidR="00DC0FCA">
        <w:fldChar w:fldCharType="separate"/>
      </w:r>
      <w:r>
        <w:rPr>
          <w:noProof/>
        </w:rPr>
        <w:t>2</w:t>
      </w:r>
      <w:r w:rsidR="00DC0FCA">
        <w:rPr>
          <w:noProof/>
        </w:rPr>
        <w:fldChar w:fldCharType="end"/>
      </w:r>
      <w:r>
        <w:t>: Hizmet sektörü güven endeksi alt bileşenleri (</w:t>
      </w:r>
      <w:r w:rsidR="008071E5">
        <w:t>Ocak 2015</w:t>
      </w:r>
      <w:r>
        <w:t>-</w:t>
      </w:r>
      <w:r w:rsidR="008071E5">
        <w:t>Şubat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B81204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.14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B81204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D034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D034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  <w:r w:rsidR="008F037C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="00AD0348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,2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D0348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98</w:t>
            </w:r>
            <w:r w:rsidR="005131B0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D0348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94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D0348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11,</w:t>
            </w:r>
            <w:r w:rsidR="00AD034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82CEF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1,</w:t>
            </w:r>
            <w:r w:rsidR="00AD034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  <w:lang w:eastAsia="tr-TR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AF0"/>
    <w:rsid w:val="00041E14"/>
    <w:rsid w:val="001026C6"/>
    <w:rsid w:val="00107F1F"/>
    <w:rsid w:val="0011679B"/>
    <w:rsid w:val="00161E0D"/>
    <w:rsid w:val="001B4B87"/>
    <w:rsid w:val="001F45C1"/>
    <w:rsid w:val="00226F56"/>
    <w:rsid w:val="00282CEF"/>
    <w:rsid w:val="002B5EAF"/>
    <w:rsid w:val="002C176D"/>
    <w:rsid w:val="0037286A"/>
    <w:rsid w:val="00376705"/>
    <w:rsid w:val="003A4DE8"/>
    <w:rsid w:val="003A4E9E"/>
    <w:rsid w:val="003C0AB3"/>
    <w:rsid w:val="003E7ABA"/>
    <w:rsid w:val="00414D32"/>
    <w:rsid w:val="00415908"/>
    <w:rsid w:val="0045208A"/>
    <w:rsid w:val="00472839"/>
    <w:rsid w:val="004F0E94"/>
    <w:rsid w:val="005131B0"/>
    <w:rsid w:val="005D1EB3"/>
    <w:rsid w:val="0067222E"/>
    <w:rsid w:val="006D6C3C"/>
    <w:rsid w:val="006F23D8"/>
    <w:rsid w:val="00735C81"/>
    <w:rsid w:val="00746DDE"/>
    <w:rsid w:val="008071E5"/>
    <w:rsid w:val="008212B1"/>
    <w:rsid w:val="008A3853"/>
    <w:rsid w:val="008B29F9"/>
    <w:rsid w:val="008C3A4E"/>
    <w:rsid w:val="008F037C"/>
    <w:rsid w:val="008F6EF4"/>
    <w:rsid w:val="00960957"/>
    <w:rsid w:val="009C7E77"/>
    <w:rsid w:val="00A00243"/>
    <w:rsid w:val="00A270E3"/>
    <w:rsid w:val="00A332D6"/>
    <w:rsid w:val="00AD0348"/>
    <w:rsid w:val="00AD6B7D"/>
    <w:rsid w:val="00B050DB"/>
    <w:rsid w:val="00B22A6C"/>
    <w:rsid w:val="00B81204"/>
    <w:rsid w:val="00B81743"/>
    <w:rsid w:val="00BA0AF0"/>
    <w:rsid w:val="00BB0798"/>
    <w:rsid w:val="00BB3B61"/>
    <w:rsid w:val="00BE14F5"/>
    <w:rsid w:val="00C0378F"/>
    <w:rsid w:val="00C51B65"/>
    <w:rsid w:val="00CA5ACC"/>
    <w:rsid w:val="00CC05F5"/>
    <w:rsid w:val="00D11DC0"/>
    <w:rsid w:val="00D41704"/>
    <w:rsid w:val="00DB0FFC"/>
    <w:rsid w:val="00DC0FCA"/>
    <w:rsid w:val="00DC3CEB"/>
    <w:rsid w:val="00DF240C"/>
    <w:rsid w:val="00E12C81"/>
    <w:rsid w:val="00E14F76"/>
    <w:rsid w:val="00E22179"/>
    <w:rsid w:val="00E326F7"/>
    <w:rsid w:val="00EB68C0"/>
    <w:rsid w:val="00EE3747"/>
    <w:rsid w:val="00F2387A"/>
    <w:rsid w:val="00F5267F"/>
    <w:rsid w:val="00F66CF6"/>
    <w:rsid w:val="00F73F8D"/>
    <w:rsid w:val="00F91EC1"/>
    <w:rsid w:val="00FB149D"/>
    <w:rsid w:val="00FB558C"/>
    <w:rsid w:val="00FD12B2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C0"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2426427601062611802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-2574042475538111347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369009199099792E-2"/>
          <c:y val="4.8646960901853567E-2"/>
          <c:w val="0.67011006178207455"/>
          <c:h val="0.76129343879108891"/>
        </c:manualLayout>
      </c:layout>
      <c:lineChart>
        <c:grouping val="standard"/>
        <c:varyColors val="0"/>
        <c:ser>
          <c:idx val="0"/>
          <c:order val="0"/>
          <c:tx>
            <c:strRef>
              <c:f>Sayfa1!$A$5</c:f>
              <c:strCache>
                <c:ptCount val="1"/>
                <c:pt idx="0">
                  <c:v>Mevsim Etkilerinden Arındırılmış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Sayfa1!$B$4:$N$4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Sayfa1!$B$5:$N$5</c:f>
              <c:numCache>
                <c:formatCode>0.0</c:formatCode>
                <c:ptCount val="13"/>
                <c:pt idx="0">
                  <c:v>81.2825968283951</c:v>
                </c:pt>
                <c:pt idx="1">
                  <c:v>78.266048116891682</c:v>
                </c:pt>
                <c:pt idx="2">
                  <c:v>78.589985604218683</c:v>
                </c:pt>
                <c:pt idx="3">
                  <c:v>79.652589900885857</c:v>
                </c:pt>
                <c:pt idx="4">
                  <c:v>80.332593931686219</c:v>
                </c:pt>
                <c:pt idx="5">
                  <c:v>79.068439486770799</c:v>
                </c:pt>
                <c:pt idx="6">
                  <c:v>82.785470031773002</c:v>
                </c:pt>
                <c:pt idx="7">
                  <c:v>83.929378510342488</c:v>
                </c:pt>
                <c:pt idx="8">
                  <c:v>81.872820450131513</c:v>
                </c:pt>
                <c:pt idx="9">
                  <c:v>83.182221569630144</c:v>
                </c:pt>
                <c:pt idx="10">
                  <c:v>83.427182240706401</c:v>
                </c:pt>
                <c:pt idx="11">
                  <c:v>82.555924786245683</c:v>
                </c:pt>
                <c:pt idx="12">
                  <c:v>84.975250286421499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Sayfa1!$A$6</c:f>
              <c:strCache>
                <c:ptCount val="1"/>
                <c:pt idx="0">
                  <c:v>Mevsim Etkilerinden Arındırılmamış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Sayfa1!$B$4:$N$4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Sayfa1!$B$6:$N$6</c:f>
              <c:numCache>
                <c:formatCode>0.0</c:formatCode>
                <c:ptCount val="13"/>
                <c:pt idx="0">
                  <c:v>83.828785698538624</c:v>
                </c:pt>
                <c:pt idx="1">
                  <c:v>84.453658292521709</c:v>
                </c:pt>
                <c:pt idx="2">
                  <c:v>86.729530303552025</c:v>
                </c:pt>
                <c:pt idx="3">
                  <c:v>86.229931433549709</c:v>
                </c:pt>
                <c:pt idx="4">
                  <c:v>84.260626536057302</c:v>
                </c:pt>
                <c:pt idx="5">
                  <c:v>80.9329538978795</c:v>
                </c:pt>
                <c:pt idx="6">
                  <c:v>82.211290707936044</c:v>
                </c:pt>
                <c:pt idx="7">
                  <c:v>80.928408504185057</c:v>
                </c:pt>
                <c:pt idx="8">
                  <c:v>74.846235557199563</c:v>
                </c:pt>
                <c:pt idx="9">
                  <c:v>75.944942703521889</c:v>
                </c:pt>
                <c:pt idx="10">
                  <c:v>73.489662247233227</c:v>
                </c:pt>
                <c:pt idx="11">
                  <c:v>81.092537142537424</c:v>
                </c:pt>
                <c:pt idx="12">
                  <c:v>87.528411968771579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829504"/>
        <c:axId val="107830656"/>
      </c:lineChart>
      <c:dateAx>
        <c:axId val="10782950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7830656"/>
        <c:crosses val="autoZero"/>
        <c:auto val="1"/>
        <c:lblOffset val="100"/>
        <c:baseTimeUnit val="months"/>
      </c:dateAx>
      <c:valAx>
        <c:axId val="1078306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782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142506640995877"/>
          <c:y val="0.17570998542336927"/>
          <c:w val="0.22621029831836079"/>
          <c:h val="0.46455256643579806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99855822271079E-2"/>
          <c:y val="4.5830834613165623E-2"/>
          <c:w val="0.67512776180755152"/>
          <c:h val="0.77639908014594161"/>
        </c:manualLayout>
      </c:layout>
      <c:lineChart>
        <c:grouping val="standard"/>
        <c:varyColors val="0"/>
        <c:ser>
          <c:idx val="0"/>
          <c:order val="0"/>
          <c:tx>
            <c:strRef>
              <c:f>Sayfa1!$C$4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Sayfa1!$D$3:$P$3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Sayfa1!$D$4:$P$4</c:f>
              <c:numCache>
                <c:formatCode>0.0</c:formatCode>
                <c:ptCount val="13"/>
                <c:pt idx="0">
                  <c:v>101.08054200333331</c:v>
                </c:pt>
                <c:pt idx="1">
                  <c:v>100.27363046666665</c:v>
                </c:pt>
                <c:pt idx="2">
                  <c:v>98.920813396666659</c:v>
                </c:pt>
                <c:pt idx="3">
                  <c:v>98.057740346666577</c:v>
                </c:pt>
                <c:pt idx="4">
                  <c:v>98.981667163333327</c:v>
                </c:pt>
                <c:pt idx="5">
                  <c:v>97.576089513333287</c:v>
                </c:pt>
                <c:pt idx="6">
                  <c:v>99.765185499999987</c:v>
                </c:pt>
                <c:pt idx="7">
                  <c:v>100.13616703666659</c:v>
                </c:pt>
                <c:pt idx="8">
                  <c:v>99.125864086666624</c:v>
                </c:pt>
                <c:pt idx="9">
                  <c:v>97.971329473333384</c:v>
                </c:pt>
                <c:pt idx="10">
                  <c:v>98.978874499999989</c:v>
                </c:pt>
                <c:pt idx="11">
                  <c:v>101.03971238666659</c:v>
                </c:pt>
                <c:pt idx="12">
                  <c:v>101.93584970333336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Sayfa1!$C$5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Sayfa1!$D$3:$P$3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Sayfa1!$D$5:$P$5</c:f>
              <c:numCache>
                <c:formatCode>0.0</c:formatCode>
                <c:ptCount val="13"/>
                <c:pt idx="0">
                  <c:v>97.960617462976842</c:v>
                </c:pt>
                <c:pt idx="1">
                  <c:v>99.064036833288355</c:v>
                </c:pt>
                <c:pt idx="2">
                  <c:v>104.108310645949</c:v>
                </c:pt>
                <c:pt idx="3">
                  <c:v>105.077599918329</c:v>
                </c:pt>
                <c:pt idx="4">
                  <c:v>105.62327286771493</c:v>
                </c:pt>
                <c:pt idx="5">
                  <c:v>99.725627859344101</c:v>
                </c:pt>
                <c:pt idx="6">
                  <c:v>103.183202686927</c:v>
                </c:pt>
                <c:pt idx="7">
                  <c:v>101.85621811091598</c:v>
                </c:pt>
                <c:pt idx="8">
                  <c:v>98.382789202470533</c:v>
                </c:pt>
                <c:pt idx="9">
                  <c:v>91.113463503082599</c:v>
                </c:pt>
                <c:pt idx="10">
                  <c:v>89.521856079014</c:v>
                </c:pt>
                <c:pt idx="11">
                  <c:v>94.840876380301879</c:v>
                </c:pt>
                <c:pt idx="12">
                  <c:v>99.785975992814656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858944"/>
        <c:axId val="109323008"/>
      </c:lineChart>
      <c:dateAx>
        <c:axId val="10785894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9323008"/>
        <c:crosses val="autoZero"/>
        <c:auto val="1"/>
        <c:lblOffset val="100"/>
        <c:baseTimeUnit val="months"/>
      </c:dateAx>
      <c:valAx>
        <c:axId val="10932300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0785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799182727348967"/>
          <c:y val="0.24536888477092544"/>
          <c:w val="0.23986856726368969"/>
          <c:h val="0.50764007392500288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F2AE1-AB6E-4E13-8B00-5EC293E8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Dila</cp:lastModifiedBy>
  <cp:revision>17</cp:revision>
  <dcterms:created xsi:type="dcterms:W3CDTF">2015-02-23T08:34:00Z</dcterms:created>
  <dcterms:modified xsi:type="dcterms:W3CDTF">2015-02-25T21:57:00Z</dcterms:modified>
</cp:coreProperties>
</file>